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088" w:rsidRDefault="004A2088" w:rsidP="004A2088">
      <w:pPr>
        <w:pStyle w:val="Standard"/>
        <w:autoSpaceDE w:val="0"/>
        <w:jc w:val="both"/>
        <w:rPr>
          <w:rFonts w:eastAsia="Calibri" w:cs="Times New Roman"/>
          <w:b/>
          <w:bCs/>
          <w:i/>
          <w:iCs/>
          <w:sz w:val="32"/>
          <w:szCs w:val="32"/>
        </w:rPr>
      </w:pPr>
    </w:p>
    <w:p w:rsidR="004A2088" w:rsidRDefault="004A2088" w:rsidP="004A2088">
      <w:pPr>
        <w:pStyle w:val="Standard"/>
        <w:autoSpaceDE w:val="0"/>
        <w:jc w:val="both"/>
        <w:rPr>
          <w:rFonts w:eastAsia="Calibri" w:cs="Times New Roman"/>
          <w:b/>
          <w:bCs/>
          <w:i/>
          <w:iCs/>
          <w:sz w:val="32"/>
          <w:szCs w:val="32"/>
        </w:rPr>
      </w:pPr>
      <w:proofErr w:type="spellStart"/>
      <w:r>
        <w:rPr>
          <w:rFonts w:eastAsia="Calibri" w:cs="Times New Roman"/>
          <w:b/>
          <w:bCs/>
          <w:i/>
          <w:iCs/>
          <w:sz w:val="32"/>
          <w:szCs w:val="32"/>
        </w:rPr>
        <w:t>Analisi</w:t>
      </w:r>
      <w:proofErr w:type="spellEnd"/>
      <w:r>
        <w:rPr>
          <w:rFonts w:eastAsia="Calibri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>
        <w:rPr>
          <w:rFonts w:eastAsia="Calibri" w:cs="Times New Roman"/>
          <w:b/>
          <w:bCs/>
          <w:i/>
          <w:iCs/>
          <w:sz w:val="32"/>
          <w:szCs w:val="32"/>
        </w:rPr>
        <w:t>monovariata</w:t>
      </w:r>
      <w:proofErr w:type="spellEnd"/>
    </w:p>
    <w:p w:rsidR="004A2088" w:rsidRDefault="004A2088" w:rsidP="004A2088">
      <w:pPr>
        <w:pStyle w:val="Standard"/>
        <w:autoSpaceDE w:val="0"/>
        <w:jc w:val="both"/>
        <w:rPr>
          <w:rFonts w:eastAsia="Calibri" w:cs="Times New Roman"/>
          <w:b/>
          <w:bCs/>
          <w:i/>
          <w:iCs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 xml:space="preserve">Distribuzione di frequenza: V1 </w:t>
      </w:r>
    </w:p>
    <w:tbl>
      <w:tblPr>
        <w:tblW w:w="96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1604"/>
        <w:gridCol w:w="1605"/>
        <w:gridCol w:w="1605"/>
        <w:gridCol w:w="1605"/>
        <w:gridCol w:w="1605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szCs w:val="22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szCs w:val="22"/>
                <w:lang w:val="it-IT" w:eastAsia="it-IT" w:bidi="ar-SA"/>
              </w:rPr>
              <w:t>Una volta a settimana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37%:77%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Due volte a settimana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11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28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93%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17%:57%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Più di due volte a settimana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0%:20%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sz w:val="22"/>
          <w:szCs w:val="22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Campione:</w:t>
      </w:r>
    </w:p>
    <w:tbl>
      <w:tblPr>
        <w:tblW w:w="6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"/>
        <w:gridCol w:w="384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0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384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V1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>Numero di casi= 30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>Indici di tendenza centrale:</w:t>
      </w:r>
    </w:p>
    <w:tbl>
      <w:tblPr>
        <w:tblW w:w="176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0"/>
        <w:gridCol w:w="180"/>
        <w:gridCol w:w="135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5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375" w:type="dxa"/>
              <w:jc w:val="right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5"/>
              <w:gridCol w:w="470"/>
              <w:gridCol w:w="42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40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40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57%</w:t>
                        </w:r>
                      </w:p>
                    </w:tc>
                  </w:tr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55"/>
                      <w:jc w:val="center"/>
                    </w:trPr>
                    <w:tc>
                      <w:tcPr>
                        <w:tcW w:w="440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47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40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40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37%</w:t>
                        </w:r>
                      </w:p>
                    </w:tc>
                  </w:tr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55"/>
                      <w:jc w:val="center"/>
                    </w:trPr>
                    <w:tc>
                      <w:tcPr>
                        <w:tcW w:w="440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7%</w:t>
                        </w:r>
                      </w:p>
                    </w:tc>
                  </w:tr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17</w:t>
                  </w:r>
                </w:p>
              </w:tc>
              <w:tc>
                <w:tcPr>
                  <w:tcW w:w="47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11</w:t>
                  </w:r>
                </w:p>
              </w:tc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1</w:t>
                  </w:r>
                </w:p>
              </w:tc>
              <w:tc>
                <w:tcPr>
                  <w:tcW w:w="47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</w:t>
                  </w:r>
                </w:p>
              </w:tc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</w:t>
                  </w: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 </w:t>
            </w:r>
          </w:p>
        </w:tc>
        <w:tc>
          <w:tcPr>
            <w:tcW w:w="1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 </w:t>
            </w:r>
          </w:p>
          <w:p w:rsidR="004A2088" w:rsidRDefault="004A2088" w:rsidP="00F818F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Moda = 1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Mediana = 1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Media = 1.5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>Indici di dispersione: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Squilibrio = 0.46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Campo di variazione = 2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Differenza </w:t>
      </w:r>
      <w:proofErr w:type="spellStart"/>
      <w:r>
        <w:rPr>
          <w:rFonts w:eastAsia="Calibri" w:cs="Times New Roman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kern w:val="0"/>
          <w:lang w:val="it-IT" w:eastAsia="en-US" w:bidi="ar-SA"/>
        </w:rPr>
        <w:t xml:space="preserve"> = 1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Scarto tipo = 0.62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>Indici di forma: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Asimmetria = 0.84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  Curtosi = -0.31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1.27 a 1.73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0.49 a 0.83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</w:pPr>
      <w:r>
        <w:rPr>
          <w:rFonts w:eastAsia="Calibri" w:cs="Times New Roman"/>
          <w:kern w:val="0"/>
          <w:lang w:val="it-IT" w:eastAsia="en-US" w:bidi="ar-SA"/>
        </w:rPr>
        <w:t xml:space="preserve">Probabilità di normalità della distribuzione (test di </w:t>
      </w:r>
      <w:proofErr w:type="spellStart"/>
      <w:r>
        <w:rPr>
          <w:rFonts w:eastAsia="Calibri" w:cs="Times New Roman"/>
          <w:kern w:val="0"/>
          <w:lang w:val="it-IT" w:eastAsia="en-US" w:bidi="ar-SA"/>
        </w:rPr>
        <w:t>Jarque-Bera</w:t>
      </w:r>
      <w:proofErr w:type="spellEnd"/>
      <w:r>
        <w:rPr>
          <w:rFonts w:eastAsia="Calibri" w:cs="Times New Roman"/>
          <w:kern w:val="0"/>
          <w:lang w:val="it-IT" w:eastAsia="en-US" w:bidi="ar-SA"/>
        </w:rPr>
        <w:t>): 0.16</w:t>
      </w:r>
      <w:r>
        <w:rPr>
          <w:rFonts w:eastAsia="Calibri" w:cs="Times New Roman"/>
          <w:kern w:val="0"/>
          <w:sz w:val="22"/>
          <w:szCs w:val="22"/>
          <w:lang w:val="it-IT" w:eastAsia="en-US" w:bidi="ar-SA"/>
        </w:rPr>
        <w:tab/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szCs w:val="22"/>
          <w:lang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L’analisi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della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variabile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V1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mostra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che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57%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dei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casi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pratica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attività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motoria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una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volta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settimana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37% due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volte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settimana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7% più di due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volte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settimana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>.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szCs w:val="22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szCs w:val="22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szCs w:val="22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Distribuzione di frequenza: V2</w:t>
      </w:r>
    </w:p>
    <w:tbl>
      <w:tblPr>
        <w:tblW w:w="96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1604"/>
        <w:gridCol w:w="1605"/>
        <w:gridCol w:w="1605"/>
        <w:gridCol w:w="1605"/>
        <w:gridCol w:w="1605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>Sport di squadra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6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6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3%:37%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>Attività acquatica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14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47%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20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67%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27%:67%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>Attività svolte all’esterno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8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28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93%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10%:43%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>Altro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30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0%:20%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184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470"/>
        <w:gridCol w:w="470"/>
        <w:gridCol w:w="420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47%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70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6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14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</w:t>
            </w:r>
          </w:p>
        </w:tc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</w:t>
            </w: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6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643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61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13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13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613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6"/>
                    <w:gridCol w:w="347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6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   </w:t>
                        </w:r>
                      </w:p>
                    </w:tc>
                    <w:tc>
                      <w:tcPr>
                        <w:tcW w:w="347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V2</w:t>
                        </w: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  <w:r>
        <w:rPr>
          <w:rFonts w:eastAsia="Calibri" w:cs="Times New Roman"/>
          <w:b/>
          <w:bCs/>
          <w:color w:val="000000"/>
          <w:kern w:val="0"/>
          <w:lang w:val="it-IT" w:eastAsia="en-US" w:bidi="ar-SA"/>
        </w:rPr>
        <w:t>Campione</w:t>
      </w:r>
      <w:r>
        <w:rPr>
          <w:rFonts w:eastAsia="Calibri" w:cs="Times New Roman"/>
          <w:color w:val="000000"/>
          <w:kern w:val="0"/>
          <w:lang w:val="it-IT" w:eastAsia="en-US" w:bidi="ar-SA"/>
        </w:rPr>
        <w:t>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Numero di casi= 30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tendenza centrale: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Moda = 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Mediana = 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 = 2.2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dispersione: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Squilibrio = 0.33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Campo di variazione = 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 xml:space="preserve">  Differenza </w:t>
      </w:r>
      <w:proofErr w:type="spellStart"/>
      <w:r>
        <w:rPr>
          <w:rFonts w:eastAsia="Calibri" w:cs="Times New Roman"/>
          <w:color w:val="000000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color w:val="000000"/>
          <w:kern w:val="0"/>
          <w:lang w:val="it-IT" w:eastAsia="en-US" w:bidi="ar-SA"/>
        </w:rPr>
        <w:t xml:space="preserve"> = 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Scarto tipo = 0.83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forma: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Asimmetria = 0.3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Curtosi = -0.45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lastRenderedPageBreak/>
              <w:t>Parametro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proofErr w:type="spellStart"/>
            <w:r>
              <w:rPr>
                <w:rFonts w:eastAsia="Calibri" w:cs="Times New Roman"/>
                <w:kern w:val="0"/>
                <w:lang w:val="it-IT" w:eastAsia="en-US" w:bidi="ar-SA"/>
              </w:rPr>
              <w:t>Int</w:t>
            </w:r>
            <w:proofErr w:type="spellEnd"/>
            <w:r>
              <w:rPr>
                <w:rFonts w:eastAsia="Calibri" w:cs="Times New Roman"/>
                <w:kern w:val="0"/>
                <w:lang w:val="it-IT" w:eastAsia="en-US" w:bidi="ar-SA"/>
              </w:rPr>
              <w:t xml:space="preserve">. </w:t>
            </w:r>
            <w:proofErr w:type="spellStart"/>
            <w:r>
              <w:rPr>
                <w:rFonts w:eastAsia="Calibri" w:cs="Times New Roman"/>
                <w:kern w:val="0"/>
                <w:lang w:val="it-IT" w:eastAsia="en-US" w:bidi="ar-SA"/>
              </w:rPr>
              <w:t>Fid</w:t>
            </w:r>
            <w:proofErr w:type="spellEnd"/>
            <w:r>
              <w:rPr>
                <w:rFonts w:eastAsia="Calibri" w:cs="Times New Roman"/>
                <w:kern w:val="0"/>
                <w:lang w:val="it-IT" w:eastAsia="en-US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da 1.89 a 2.51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da 0.66 a 1.12</w:t>
            </w:r>
          </w:p>
        </w:tc>
      </w:tr>
    </w:tbl>
    <w:p w:rsidR="004A2088" w:rsidRDefault="004A2088" w:rsidP="004A2088">
      <w:pPr>
        <w:widowControl/>
        <w:suppressAutoHyphens w:val="0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textAlignment w:val="auto"/>
      </w:pPr>
      <w:r>
        <w:rPr>
          <w:rFonts w:eastAsia="Calibri" w:cs="Times New Roman"/>
          <w:color w:val="000000"/>
          <w:kern w:val="0"/>
          <w:lang w:val="it-IT" w:eastAsia="en-US" w:bidi="ar-SA"/>
        </w:rPr>
        <w:t xml:space="preserve">Probabilità di normalità della distribuzione (test di </w:t>
      </w:r>
      <w:proofErr w:type="spellStart"/>
      <w:r>
        <w:rPr>
          <w:rFonts w:eastAsia="Calibri" w:cs="Times New Roman"/>
          <w:color w:val="000000"/>
          <w:kern w:val="0"/>
          <w:lang w:val="it-IT" w:eastAsia="en-US" w:bidi="ar-SA"/>
        </w:rPr>
        <w:t>Jarque-Bera</w:t>
      </w:r>
      <w:proofErr w:type="spellEnd"/>
      <w:r>
        <w:rPr>
          <w:rFonts w:eastAsia="Calibri" w:cs="Times New Roman"/>
          <w:color w:val="000000"/>
          <w:kern w:val="0"/>
          <w:lang w:val="it-IT" w:eastAsia="en-US" w:bidi="ar-SA"/>
        </w:rPr>
        <w:t>): 0.697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szCs w:val="22"/>
          <w:lang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kern w:val="0"/>
          <w:szCs w:val="22"/>
          <w:lang w:eastAsia="en-US" w:bidi="ar-SA"/>
        </w:rPr>
      </w:pP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L’analisi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della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variabile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V2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mostra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che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20%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dei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casi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pratica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sport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di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squadra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47%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svolge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attività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acquatiche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27%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attività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svolte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all’esterno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i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7%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pratica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altri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tipi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di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attività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>.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Calibri" w:cs="Times New Roman"/>
          <w:b/>
          <w:bCs/>
          <w:color w:val="000000"/>
          <w:kern w:val="0"/>
          <w:lang w:val="it-IT" w:eastAsia="en-US" w:bidi="ar-SA"/>
        </w:rPr>
        <w:t>Distribuzione di frequenza: V3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 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"/>
        <w:gridCol w:w="415"/>
        <w:gridCol w:w="485"/>
        <w:gridCol w:w="700"/>
        <w:gridCol w:w="1600"/>
        <w:gridCol w:w="1600"/>
        <w:gridCol w:w="1601"/>
        <w:gridCol w:w="1601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Attività agonistica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0%:20%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Attività ordinaria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28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80%:100%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4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93%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39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7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42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42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6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41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40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V3</w:t>
            </w: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1.93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0.88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0.25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-3.47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10.07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Popolazione:</w:t>
      </w: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1.84 a 2.03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0.2 a 0.34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szCs w:val="22"/>
          <w:lang w:eastAsia="en-US" w:bidi="ar-SA"/>
        </w:rPr>
      </w:pP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L’analisi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della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variabile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V3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mostra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che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7%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dei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casi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pratica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attività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agonistica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93%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pratica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attività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ordinaria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. 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szCs w:val="22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V4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14"/>
        <w:gridCol w:w="470"/>
        <w:gridCol w:w="485"/>
        <w:gridCol w:w="232"/>
        <w:gridCol w:w="1600"/>
        <w:gridCol w:w="1600"/>
        <w:gridCol w:w="1601"/>
        <w:gridCol w:w="1601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>Poco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0%:20%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>Molto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11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13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43%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17%:57%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</w:pPr>
            <w:r>
              <w:rPr>
                <w:rFonts w:eastAsia="Times New Roman" w:cs="Times New Roman"/>
                <w:bCs/>
                <w:color w:val="000000"/>
                <w:kern w:val="0"/>
                <w:lang w:val="it-IT" w:eastAsia="it-IT" w:bidi="ar-SA"/>
              </w:rPr>
              <w:t xml:space="preserve">Abbastanza 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57%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37%:77%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55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57%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85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40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11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</w:t>
            </w: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40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</w:t>
            </w: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Calibri" w:cs="Times New Roman"/>
          <w:b/>
          <w:bCs/>
          <w:color w:val="000000"/>
          <w:kern w:val="0"/>
          <w:lang w:val="it-IT" w:eastAsia="en-US" w:bidi="ar-SA"/>
        </w:rPr>
      </w:pPr>
    </w:p>
    <w:tbl>
      <w:tblPr>
        <w:tblW w:w="7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8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744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65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18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86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654" w:type="dxa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2"/>
                    <w:gridCol w:w="416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8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   </w:t>
                        </w:r>
                      </w:p>
                    </w:tc>
                    <w:tc>
                      <w:tcPr>
                        <w:tcW w:w="400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V4</w:t>
                        </w: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74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2088" w:rsidRDefault="004A2088" w:rsidP="00F818FF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Calibri" w:cs="Times New Roman"/>
          <w:b/>
          <w:bCs/>
          <w:color w:val="000000"/>
          <w:kern w:val="0"/>
          <w:lang w:val="it-IT" w:eastAsia="en-US" w:bidi="ar-SA"/>
        </w:rPr>
        <w:t>Campione</w:t>
      </w:r>
      <w:r>
        <w:rPr>
          <w:rFonts w:eastAsia="Calibri" w:cs="Times New Roman"/>
          <w:color w:val="000000"/>
          <w:kern w:val="0"/>
          <w:lang w:val="it-IT" w:eastAsia="en-US" w:bidi="ar-SA"/>
        </w:rPr>
        <w:t>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Numero di casi= 30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tendenza centrale: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Moda = 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Mediana = 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 = 2.5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dispersione: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Squilibrio = 0.46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Campo di variazione = 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 xml:space="preserve">  Differenza </w:t>
      </w:r>
      <w:proofErr w:type="spellStart"/>
      <w:r>
        <w:rPr>
          <w:rFonts w:eastAsia="Calibri" w:cs="Times New Roman"/>
          <w:color w:val="000000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color w:val="000000"/>
          <w:kern w:val="0"/>
          <w:lang w:val="it-IT" w:eastAsia="en-US" w:bidi="ar-SA"/>
        </w:rPr>
        <w:t xml:space="preserve"> = 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Scarto tipo = 0.62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forma: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Asimmetria = -0.84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Curtosi = -0.31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Popolazione:</w:t>
      </w: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2.27 a 2.73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0.49 a 0.83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0.16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L’analisi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della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variabile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V4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mostra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che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7%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dei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casi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ha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percepito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poco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sviluppo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di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maggior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flessibilità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coordinazione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resistenza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nel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proprio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figlio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37% ha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percepito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molto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sviluppo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di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maggior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flessibilità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coordinazione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resistenza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nel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proprio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figlio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il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57% ha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percepito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abbastanza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sviluppo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di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maggior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flessibilità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,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coordinazione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e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resistenza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nel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proprio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 xml:space="preserve"> </w:t>
      </w:r>
      <w:proofErr w:type="spellStart"/>
      <w:r>
        <w:rPr>
          <w:rFonts w:eastAsia="Calibri" w:cs="Times New Roman"/>
          <w:kern w:val="0"/>
          <w:szCs w:val="22"/>
          <w:lang w:eastAsia="en-US" w:bidi="ar-SA"/>
        </w:rPr>
        <w:t>figlio</w:t>
      </w:r>
      <w:proofErr w:type="spellEnd"/>
      <w:r>
        <w:rPr>
          <w:rFonts w:eastAsia="Calibri" w:cs="Times New Roman"/>
          <w:kern w:val="0"/>
          <w:szCs w:val="22"/>
          <w:lang w:eastAsia="en-US" w:bidi="ar-SA"/>
        </w:rPr>
        <w:t>.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V5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79"/>
        <w:gridCol w:w="470"/>
        <w:gridCol w:w="485"/>
        <w:gridCol w:w="168"/>
        <w:gridCol w:w="1600"/>
        <w:gridCol w:w="1600"/>
        <w:gridCol w:w="1601"/>
        <w:gridCol w:w="1600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>Poco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13%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0%:30%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>Molto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13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23%:63%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 xml:space="preserve">Abbastanza 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13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23%:63%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  <w:r>
                    <w:rPr>
                      <w:rFonts w:eastAsia="Calibri" w:cs="Times New Roman"/>
                      <w:kern w:val="0"/>
                      <w:lang w:val="it-IT" w:eastAsia="en-US" w:bidi="ar-SA"/>
                    </w:rPr>
                    <w:t>13%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9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  <w:r>
                    <w:rPr>
                      <w:rFonts w:eastAsia="Calibri" w:cs="Times New Roman"/>
                      <w:kern w:val="0"/>
                      <w:lang w:val="it-IT" w:eastAsia="en-US" w:bidi="ar-SA"/>
                    </w:rPr>
                    <w:t>43%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6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  <w:r>
                    <w:rPr>
                      <w:rFonts w:eastAsia="Calibri" w:cs="Times New Roman"/>
                      <w:kern w:val="0"/>
                      <w:lang w:val="it-IT" w:eastAsia="en-US" w:bidi="ar-SA"/>
                    </w:rPr>
                    <w:t>43%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6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4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13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13</w:t>
            </w:r>
          </w:p>
        </w:tc>
        <w:tc>
          <w:tcPr>
            <w:tcW w:w="1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2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3</w:t>
            </w:r>
          </w:p>
        </w:tc>
        <w:tc>
          <w:tcPr>
            <w:tcW w:w="1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6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41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40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V5</w:t>
            </w: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Calibri" w:cs="Times New Roman"/>
          <w:b/>
          <w:bCs/>
          <w:color w:val="000000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Calibri" w:cs="Times New Roman"/>
          <w:b/>
          <w:bCs/>
          <w:color w:val="000000"/>
          <w:kern w:val="0"/>
          <w:lang w:val="it-IT" w:eastAsia="en-US" w:bidi="ar-SA"/>
        </w:rPr>
        <w:t>Campione</w:t>
      </w:r>
      <w:r>
        <w:rPr>
          <w:rFonts w:eastAsia="Calibri" w:cs="Times New Roman"/>
          <w:color w:val="000000"/>
          <w:kern w:val="0"/>
          <w:lang w:val="it-IT" w:eastAsia="en-US" w:bidi="ar-SA"/>
        </w:rPr>
        <w:t>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Numero di casi= 30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tendenza centrale: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Moda = 2; 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Mediana = 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 = 2.3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dispersione: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Squilibrio = 0.39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Campo di variazione = 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 xml:space="preserve">  Differenza </w:t>
      </w:r>
      <w:proofErr w:type="spellStart"/>
      <w:r>
        <w:rPr>
          <w:rFonts w:eastAsia="Calibri" w:cs="Times New Roman"/>
          <w:color w:val="000000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color w:val="000000"/>
          <w:kern w:val="0"/>
          <w:lang w:val="it-IT" w:eastAsia="en-US" w:bidi="ar-SA"/>
        </w:rPr>
        <w:t xml:space="preserve"> = 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Scarto tipo = 0.69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forma: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Asimmetria = -0.47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Curtosi = -0.85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Calibri" w:cs="Times New Roman"/>
          <w:b/>
          <w:color w:val="000000"/>
          <w:kern w:val="0"/>
          <w:lang w:val="it-IT" w:eastAsia="en-US" w:bidi="ar-SA"/>
        </w:rPr>
      </w:pPr>
      <w:r>
        <w:rPr>
          <w:rFonts w:eastAsia="Calibri" w:cs="Times New Roman"/>
          <w:b/>
          <w:color w:val="000000"/>
          <w:kern w:val="0"/>
          <w:lang w:val="it-IT" w:eastAsia="en-US" w:bidi="ar-SA"/>
        </w:rPr>
        <w:t>Popolazione:</w:t>
      </w: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2.04 a 2.56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0.55 a 0.93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0.363</w:t>
      </w:r>
    </w:p>
    <w:p w:rsidR="004A2088" w:rsidRDefault="004A2088" w:rsidP="004A2088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it-IT" w:eastAsia="it-IT" w:bidi="ar-SA"/>
        </w:rPr>
      </w:pPr>
      <w:r>
        <w:rPr>
          <w:rFonts w:eastAsia="Times New Roman" w:cs="Times New Roman"/>
          <w:kern w:val="0"/>
          <w:lang w:val="it-IT" w:eastAsia="it-IT" w:bidi="ar-SA"/>
        </w:rPr>
        <w:t>L’analisi della variabile V5 mostra che il 13% dei casi ha percepito poco sviluppo di cooperazione e comunicazione nel proprio figlio, il 43% ha percepito molto sviluppo di cooperazione e comunicazione nel proprio figlio e il 43% ha percepito abbastanza sviluppo di cooperazione e comunicazione nel proprio figlio.</w:t>
      </w:r>
    </w:p>
    <w:p w:rsidR="004A2088" w:rsidRDefault="004A2088" w:rsidP="004A2088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jc w:val="both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Distribuzione di frequenza: V6</w:t>
      </w:r>
    </w:p>
    <w:p w:rsidR="004A2088" w:rsidRDefault="004A2088" w:rsidP="004A2088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it-IT" w:eastAsia="it-IT" w:bidi="ar-SA"/>
        </w:rPr>
      </w:pPr>
    </w:p>
    <w:tbl>
      <w:tblPr>
        <w:tblW w:w="96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1604"/>
        <w:gridCol w:w="1605"/>
        <w:gridCol w:w="1605"/>
        <w:gridCol w:w="1605"/>
        <w:gridCol w:w="1605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>Poco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10%:43%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>Molto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11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0%:23%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 xml:space="preserve">Abbastanza 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19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63%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43%:83%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14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470"/>
        <w:gridCol w:w="485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  <w:r>
                    <w:rPr>
                      <w:rFonts w:eastAsia="Calibri" w:cs="Times New Roman"/>
                      <w:kern w:val="0"/>
                      <w:lang w:val="it-IT" w:eastAsia="en-US" w:bidi="ar-SA"/>
                    </w:rPr>
                    <w:t>27%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  <w:r>
                    <w:rPr>
                      <w:rFonts w:eastAsia="Calibri" w:cs="Times New Roman"/>
                      <w:kern w:val="0"/>
                      <w:lang w:val="it-IT" w:eastAsia="en-US" w:bidi="ar-SA"/>
                    </w:rPr>
                    <w:t>10%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  <w:r>
                    <w:rPr>
                      <w:rFonts w:eastAsia="Calibri" w:cs="Times New Roman"/>
                      <w:kern w:val="0"/>
                      <w:lang w:val="it-IT" w:eastAsia="en-US" w:bidi="ar-SA"/>
                    </w:rPr>
                    <w:t>63%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9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spacing w:after="160" w:line="254" w:lineRule="auto"/>
                    <w:textAlignment w:val="auto"/>
                    <w:rPr>
                      <w:rFonts w:eastAsia="Calibri" w:cs="Times New Roman"/>
                      <w:kern w:val="0"/>
                      <w:lang w:val="it-IT" w:eastAsia="en-US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8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3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19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2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spacing w:after="160" w:line="254" w:lineRule="auto"/>
              <w:textAlignment w:val="auto"/>
              <w:rPr>
                <w:rFonts w:eastAsia="Calibri" w:cs="Times New Roman"/>
                <w:kern w:val="0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lang w:val="it-IT" w:eastAsia="en-US" w:bidi="ar-SA"/>
              </w:rPr>
              <w:t>3</w:t>
            </w: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6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41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40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V6</w:t>
            </w:r>
          </w:p>
        </w:tc>
      </w:tr>
    </w:tbl>
    <w:p w:rsidR="004A2088" w:rsidRDefault="004A2088" w:rsidP="004A2088">
      <w:pPr>
        <w:widowControl/>
        <w:suppressAutoHyphens w:val="0"/>
        <w:spacing w:after="160" w:line="254" w:lineRule="auto"/>
        <w:textAlignment w:val="auto"/>
      </w:pPr>
      <w:r>
        <w:rPr>
          <w:rFonts w:eastAsia="Calibri" w:cs="Times New Roman"/>
          <w:b/>
          <w:bCs/>
          <w:kern w:val="0"/>
          <w:lang w:val="it-IT" w:eastAsia="en-US" w:bidi="ar-SA"/>
        </w:rPr>
        <w:t>Campione</w:t>
      </w:r>
      <w:r>
        <w:rPr>
          <w:rFonts w:eastAsia="Calibri" w:cs="Times New Roman"/>
          <w:b/>
          <w:kern w:val="0"/>
          <w:lang w:val="it-IT" w:eastAsia="en-US" w:bidi="ar-SA"/>
        </w:rPr>
        <w:t>:</w:t>
      </w:r>
      <w:r>
        <w:rPr>
          <w:rFonts w:eastAsia="Calibri" w:cs="Times New Roman"/>
          <w:b/>
          <w:kern w:val="0"/>
          <w:lang w:val="it-IT" w:eastAsia="en-US" w:bidi="ar-SA"/>
        </w:rPr>
        <w:br/>
      </w:r>
      <w:r>
        <w:rPr>
          <w:rFonts w:eastAsia="Calibri" w:cs="Times New Roman"/>
          <w:kern w:val="0"/>
          <w:lang w:val="it-IT" w:eastAsia="en-US" w:bidi="ar-SA"/>
        </w:rPr>
        <w:t>Numero di casi= 30</w:t>
      </w:r>
      <w:r>
        <w:rPr>
          <w:rFonts w:eastAsia="Calibri" w:cs="Times New Roman"/>
          <w:kern w:val="0"/>
          <w:lang w:val="it-IT" w:eastAsia="en-US" w:bidi="ar-SA"/>
        </w:rPr>
        <w:br/>
        <w:t>Indici di tendenza centrale:</w:t>
      </w:r>
      <w:r>
        <w:rPr>
          <w:rFonts w:eastAsia="Calibri" w:cs="Times New Roman"/>
          <w:kern w:val="0"/>
          <w:lang w:val="it-IT" w:eastAsia="en-US" w:bidi="ar-SA"/>
        </w:rPr>
        <w:br/>
        <w:t>  Moda = 3</w:t>
      </w:r>
      <w:r>
        <w:rPr>
          <w:rFonts w:eastAsia="Calibri" w:cs="Times New Roman"/>
          <w:kern w:val="0"/>
          <w:lang w:val="it-IT" w:eastAsia="en-US" w:bidi="ar-SA"/>
        </w:rPr>
        <w:br/>
        <w:t>  Mediana = 3</w:t>
      </w:r>
      <w:r>
        <w:rPr>
          <w:rFonts w:eastAsia="Calibri" w:cs="Times New Roman"/>
          <w:kern w:val="0"/>
          <w:lang w:val="it-IT" w:eastAsia="en-US" w:bidi="ar-SA"/>
        </w:rPr>
        <w:br/>
        <w:t>  Media = 2.37</w:t>
      </w:r>
      <w:r>
        <w:rPr>
          <w:rFonts w:eastAsia="Calibri" w:cs="Times New Roman"/>
          <w:kern w:val="0"/>
          <w:lang w:val="it-IT" w:eastAsia="en-US" w:bidi="ar-SA"/>
        </w:rPr>
        <w:br/>
        <w:t>Indici di dispersione:</w:t>
      </w:r>
      <w:r>
        <w:rPr>
          <w:rFonts w:eastAsia="Calibri" w:cs="Times New Roman"/>
          <w:kern w:val="0"/>
          <w:lang w:val="it-IT" w:eastAsia="en-US" w:bidi="ar-SA"/>
        </w:rPr>
        <w:br/>
        <w:t>  Squilibrio = 0.48</w:t>
      </w:r>
      <w:r>
        <w:rPr>
          <w:rFonts w:eastAsia="Calibri" w:cs="Times New Roman"/>
          <w:kern w:val="0"/>
          <w:lang w:val="it-IT" w:eastAsia="en-US" w:bidi="ar-SA"/>
        </w:rPr>
        <w:br/>
        <w:t>  Campo di variazione = 2</w:t>
      </w:r>
      <w:r>
        <w:rPr>
          <w:rFonts w:eastAsia="Calibri" w:cs="Times New Roman"/>
          <w:kern w:val="0"/>
          <w:lang w:val="it-IT" w:eastAsia="en-US" w:bidi="ar-SA"/>
        </w:rPr>
        <w:br/>
        <w:t xml:space="preserve">  Differenza </w:t>
      </w:r>
      <w:proofErr w:type="spellStart"/>
      <w:r>
        <w:rPr>
          <w:rFonts w:eastAsia="Calibri" w:cs="Times New Roman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kern w:val="0"/>
          <w:lang w:val="it-IT" w:eastAsia="en-US" w:bidi="ar-SA"/>
        </w:rPr>
        <w:t xml:space="preserve"> = 2</w:t>
      </w:r>
      <w:r>
        <w:rPr>
          <w:rFonts w:eastAsia="Calibri" w:cs="Times New Roman"/>
          <w:kern w:val="0"/>
          <w:lang w:val="it-IT" w:eastAsia="en-US" w:bidi="ar-SA"/>
        </w:rPr>
        <w:br/>
        <w:t>  Scarto tipo = 0.87</w:t>
      </w:r>
      <w:r>
        <w:rPr>
          <w:rFonts w:eastAsia="Calibri" w:cs="Times New Roman"/>
          <w:kern w:val="0"/>
          <w:lang w:val="it-IT" w:eastAsia="en-US" w:bidi="ar-SA"/>
        </w:rPr>
        <w:br/>
        <w:t>Indici di forma:</w:t>
      </w:r>
      <w:r>
        <w:rPr>
          <w:rFonts w:eastAsia="Calibri" w:cs="Times New Roman"/>
          <w:kern w:val="0"/>
          <w:lang w:val="it-IT" w:eastAsia="en-US" w:bidi="ar-SA"/>
        </w:rPr>
        <w:br/>
        <w:t>  Asimmetria = -0.78</w:t>
      </w:r>
      <w:r>
        <w:rPr>
          <w:rFonts w:eastAsia="Calibri" w:cs="Times New Roman"/>
          <w:kern w:val="0"/>
          <w:lang w:val="it-IT" w:eastAsia="en-US" w:bidi="ar-SA"/>
        </w:rPr>
        <w:br/>
        <w:t>  Curtosi = -1.24</w:t>
      </w: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2.04 a 2.69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0.7 a 1.18</w:t>
            </w:r>
          </w:p>
        </w:tc>
      </w:tr>
    </w:tbl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</w:pPr>
      <w:r>
        <w:rPr>
          <w:rFonts w:eastAsia="Calibri" w:cs="Times New Roman"/>
          <w:color w:val="000000"/>
          <w:kern w:val="0"/>
          <w:lang w:val="it-IT" w:eastAsia="en-US" w:bidi="ar-SA"/>
        </w:rPr>
        <w:t xml:space="preserve">Probabilità di normalità della distribuzione (test di </w:t>
      </w:r>
      <w:proofErr w:type="spellStart"/>
      <w:r>
        <w:rPr>
          <w:rFonts w:eastAsia="Calibri" w:cs="Times New Roman"/>
          <w:color w:val="000000"/>
          <w:kern w:val="0"/>
          <w:lang w:val="it-IT" w:eastAsia="en-US" w:bidi="ar-SA"/>
        </w:rPr>
        <w:t>Jarque-Bera</w:t>
      </w:r>
      <w:proofErr w:type="spellEnd"/>
      <w:r>
        <w:rPr>
          <w:rFonts w:eastAsia="Calibri" w:cs="Times New Roman"/>
          <w:color w:val="000000"/>
          <w:kern w:val="0"/>
          <w:lang w:val="it-IT" w:eastAsia="en-US" w:bidi="ar-SA"/>
        </w:rPr>
        <w:t>): 0.083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</w:pPr>
      <w:r>
        <w:rPr>
          <w:rFonts w:eastAsia="Calibri" w:cs="Times New Roman"/>
          <w:kern w:val="0"/>
          <w:lang w:val="it-IT" w:eastAsia="en-US" w:bidi="ar-SA"/>
        </w:rPr>
        <w:t>L’analisi della variabile V6 mostra che il 27% dei casi ha percepito poco sviluppo della capacità di condivisione degli spazi nel proprio figlio, il 10% ha percepito molto sviluppo della capacità di condivisione degli spazi nel proprio figlio e il 63% ha percepito abbastanza sviluppo della capacità di condivisione degli spazi nel proprio figlio.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sz w:val="22"/>
          <w:szCs w:val="22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after="160"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Distribuzione di frequenza: V7</w:t>
      </w:r>
    </w:p>
    <w:tbl>
      <w:tblPr>
        <w:tblW w:w="96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1604"/>
        <w:gridCol w:w="1605"/>
        <w:gridCol w:w="1605"/>
        <w:gridCol w:w="1605"/>
        <w:gridCol w:w="1605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>Poco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0%:23%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>Molto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19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63%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22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73%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43%:83%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textAlignment w:val="auto"/>
              <w:rPr>
                <w:rFonts w:eastAsia="Calibri" w:cs="Times New Roman"/>
                <w:kern w:val="0"/>
                <w:szCs w:val="22"/>
                <w:lang w:val="it-IT" w:eastAsia="en-US" w:bidi="ar-SA"/>
              </w:rPr>
            </w:pPr>
            <w:r>
              <w:rPr>
                <w:rFonts w:eastAsia="Calibri" w:cs="Times New Roman"/>
                <w:kern w:val="0"/>
                <w:szCs w:val="22"/>
                <w:lang w:val="it-IT" w:eastAsia="en-US" w:bidi="ar-SA"/>
              </w:rPr>
              <w:t xml:space="preserve">Abbastanza </w:t>
            </w:r>
          </w:p>
        </w:tc>
        <w:tc>
          <w:tcPr>
            <w:tcW w:w="1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10%:43%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tbl>
      <w:tblPr>
        <w:tblW w:w="15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0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53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1440" w:type="dxa"/>
              <w:jc w:val="right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5"/>
              <w:gridCol w:w="470"/>
              <w:gridCol w:w="48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40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40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10%</w:t>
                        </w:r>
                      </w:p>
                    </w:tc>
                  </w:tr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50"/>
                      <w:jc w:val="center"/>
                    </w:trPr>
                    <w:tc>
                      <w:tcPr>
                        <w:tcW w:w="440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47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40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40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63%</w:t>
                        </w:r>
                      </w:p>
                    </w:tc>
                  </w:tr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945"/>
                      <w:jc w:val="center"/>
                    </w:trPr>
                    <w:tc>
                      <w:tcPr>
                        <w:tcW w:w="440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  <w:tc>
                <w:tcPr>
                  <w:tcW w:w="4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40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40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27%</w:t>
                        </w:r>
                      </w:p>
                    </w:tc>
                  </w:tr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05"/>
                      <w:jc w:val="center"/>
                    </w:trPr>
                    <w:tc>
                      <w:tcPr>
                        <w:tcW w:w="440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</w:t>
                  </w:r>
                </w:p>
              </w:tc>
              <w:tc>
                <w:tcPr>
                  <w:tcW w:w="47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19</w:t>
                  </w:r>
                </w:p>
              </w:tc>
              <w:tc>
                <w:tcPr>
                  <w:tcW w:w="4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8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1</w:t>
                  </w:r>
                </w:p>
              </w:tc>
              <w:tc>
                <w:tcPr>
                  <w:tcW w:w="47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</w:t>
                  </w:r>
                </w:p>
              </w:tc>
              <w:tc>
                <w:tcPr>
                  <w:tcW w:w="48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</w:t>
                  </w: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6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41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40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V7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</w:pPr>
      <w:r>
        <w:rPr>
          <w:rFonts w:eastAsia="Calibri" w:cs="Times New Roman"/>
          <w:b/>
          <w:bCs/>
          <w:kern w:val="0"/>
          <w:lang w:val="it-IT" w:eastAsia="en-US" w:bidi="ar-SA"/>
        </w:rPr>
        <w:t>Campione</w:t>
      </w:r>
      <w:r>
        <w:rPr>
          <w:rFonts w:eastAsia="Calibri" w:cs="Times New Roman"/>
          <w:kern w:val="0"/>
          <w:lang w:val="it-IT" w:eastAsia="en-US" w:bidi="ar-SA"/>
        </w:rPr>
        <w:t>:</w:t>
      </w:r>
      <w:r>
        <w:rPr>
          <w:rFonts w:eastAsia="Calibri" w:cs="Times New Roman"/>
          <w:kern w:val="0"/>
          <w:lang w:val="it-IT" w:eastAsia="en-US" w:bidi="ar-SA"/>
        </w:rPr>
        <w:br/>
        <w:t>Numero di casi= 30</w:t>
      </w:r>
      <w:r>
        <w:rPr>
          <w:rFonts w:eastAsia="Calibri" w:cs="Times New Roman"/>
          <w:kern w:val="0"/>
          <w:lang w:val="it-IT" w:eastAsia="en-US" w:bidi="ar-SA"/>
        </w:rPr>
        <w:br/>
        <w:t>Indici di tendenza centrale:</w:t>
      </w:r>
      <w:r>
        <w:rPr>
          <w:rFonts w:eastAsia="Calibri" w:cs="Times New Roman"/>
          <w:kern w:val="0"/>
          <w:lang w:val="it-IT" w:eastAsia="en-US" w:bidi="ar-SA"/>
        </w:rPr>
        <w:br/>
        <w:t>  Moda = 2</w:t>
      </w:r>
      <w:r>
        <w:rPr>
          <w:rFonts w:eastAsia="Calibri" w:cs="Times New Roman"/>
          <w:kern w:val="0"/>
          <w:lang w:val="it-IT" w:eastAsia="en-US" w:bidi="ar-SA"/>
        </w:rPr>
        <w:br/>
        <w:t>  Mediana = 2</w:t>
      </w:r>
      <w:r>
        <w:rPr>
          <w:rFonts w:eastAsia="Calibri" w:cs="Times New Roman"/>
          <w:kern w:val="0"/>
          <w:lang w:val="it-IT" w:eastAsia="en-US" w:bidi="ar-SA"/>
        </w:rPr>
        <w:br/>
        <w:t>  Media = 2.17</w:t>
      </w:r>
      <w:r>
        <w:rPr>
          <w:rFonts w:eastAsia="Calibri" w:cs="Times New Roman"/>
          <w:kern w:val="0"/>
          <w:lang w:val="it-IT" w:eastAsia="en-US" w:bidi="ar-SA"/>
        </w:rPr>
        <w:br/>
        <w:t>Indici di dispersione:</w:t>
      </w:r>
      <w:r>
        <w:rPr>
          <w:rFonts w:eastAsia="Calibri" w:cs="Times New Roman"/>
          <w:kern w:val="0"/>
          <w:lang w:val="it-IT" w:eastAsia="en-US" w:bidi="ar-SA"/>
        </w:rPr>
        <w:br/>
        <w:t>  Squilibrio = 0.48</w:t>
      </w:r>
      <w:r>
        <w:rPr>
          <w:rFonts w:eastAsia="Calibri" w:cs="Times New Roman"/>
          <w:kern w:val="0"/>
          <w:lang w:val="it-IT" w:eastAsia="en-US" w:bidi="ar-SA"/>
        </w:rPr>
        <w:br/>
        <w:t>  Campo di variazione = 2</w:t>
      </w:r>
      <w:r>
        <w:rPr>
          <w:rFonts w:eastAsia="Calibri" w:cs="Times New Roman"/>
          <w:kern w:val="0"/>
          <w:lang w:val="it-IT" w:eastAsia="en-US" w:bidi="ar-SA"/>
        </w:rPr>
        <w:br/>
        <w:t xml:space="preserve">  Differenza </w:t>
      </w:r>
      <w:proofErr w:type="spellStart"/>
      <w:r>
        <w:rPr>
          <w:rFonts w:eastAsia="Calibri" w:cs="Times New Roman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kern w:val="0"/>
          <w:lang w:val="it-IT" w:eastAsia="en-US" w:bidi="ar-SA"/>
        </w:rPr>
        <w:t xml:space="preserve"> = 1</w:t>
      </w:r>
      <w:r>
        <w:rPr>
          <w:rFonts w:eastAsia="Calibri" w:cs="Times New Roman"/>
          <w:kern w:val="0"/>
          <w:lang w:val="it-IT" w:eastAsia="en-US" w:bidi="ar-SA"/>
        </w:rPr>
        <w:br/>
        <w:t>  Scarto tipo = 0.58</w:t>
      </w:r>
      <w:r>
        <w:rPr>
          <w:rFonts w:eastAsia="Calibri" w:cs="Times New Roman"/>
          <w:kern w:val="0"/>
          <w:lang w:val="it-IT" w:eastAsia="en-US" w:bidi="ar-SA"/>
        </w:rPr>
        <w:br/>
        <w:t>Indici di forma:</w:t>
      </w:r>
      <w:r>
        <w:rPr>
          <w:rFonts w:eastAsia="Calibri" w:cs="Times New Roman"/>
          <w:kern w:val="0"/>
          <w:lang w:val="it-IT" w:eastAsia="en-US" w:bidi="ar-SA"/>
        </w:rPr>
        <w:br/>
        <w:t>  Asimmetria = -0.04</w:t>
      </w:r>
      <w:r>
        <w:rPr>
          <w:rFonts w:eastAsia="Calibri" w:cs="Times New Roman"/>
          <w:kern w:val="0"/>
          <w:lang w:val="it-IT" w:eastAsia="en-US" w:bidi="ar-SA"/>
        </w:rPr>
        <w:br/>
        <w:t>  Curtosi = -0.26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1.95 a 2.38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0.46 a 0.78</w:t>
            </w:r>
          </w:p>
        </w:tc>
      </w:tr>
    </w:tbl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  <w:r>
        <w:rPr>
          <w:rFonts w:eastAsia="Calibri" w:cs="Times New Roman"/>
          <w:kern w:val="0"/>
          <w:lang w:val="it-IT" w:eastAsia="en-US" w:bidi="ar-SA"/>
        </w:rPr>
        <w:t xml:space="preserve">Probabilità di normalità della distribuzione (test di </w:t>
      </w:r>
      <w:proofErr w:type="spellStart"/>
      <w:r>
        <w:rPr>
          <w:rFonts w:eastAsia="Calibri" w:cs="Times New Roman"/>
          <w:kern w:val="0"/>
          <w:lang w:val="it-IT" w:eastAsia="en-US" w:bidi="ar-SA"/>
        </w:rPr>
        <w:t>Jarque-Bera</w:t>
      </w:r>
      <w:proofErr w:type="spellEnd"/>
      <w:r>
        <w:rPr>
          <w:rFonts w:eastAsia="Calibri" w:cs="Times New Roman"/>
          <w:kern w:val="0"/>
          <w:lang w:val="it-IT" w:eastAsia="en-US" w:bidi="ar-SA"/>
        </w:rPr>
        <w:t>): 0.954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line="254" w:lineRule="auto"/>
        <w:textAlignment w:val="auto"/>
      </w:pPr>
      <w:r>
        <w:rPr>
          <w:rFonts w:eastAsia="Calibri" w:cs="Times New Roman"/>
          <w:kern w:val="0"/>
          <w:lang w:val="it-IT" w:eastAsia="en-US" w:bidi="ar-SA"/>
        </w:rPr>
        <w:t>L’analisi della variabile V7 mostra che il 10% dei casi ha percepito poco miglioramento del metabolismo nel proprio figlio, il 63% ha percepito molto miglioramento del metabolismo nel proprio figlio e il 27% ha percepito abbastanza miglioramento del metabolismo nel proprio figlio.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Times New Roman" w:cs="Times New Roman"/>
          <w:color w:val="000000"/>
          <w:kern w:val="0"/>
          <w:sz w:val="22"/>
          <w:szCs w:val="22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jc w:val="both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V8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507"/>
        <w:gridCol w:w="617"/>
        <w:gridCol w:w="631"/>
        <w:gridCol w:w="1566"/>
        <w:gridCol w:w="1577"/>
        <w:gridCol w:w="1567"/>
        <w:gridCol w:w="1577"/>
        <w:gridCol w:w="1564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Meno frequentemente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18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60%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18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60%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40%:80%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Poco frequentemente 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12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20%:60%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60%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90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40%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63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18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12</w:t>
            </w:r>
          </w:p>
        </w:tc>
        <w:tc>
          <w:tcPr>
            <w:tcW w:w="63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63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after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tbl>
      <w:tblPr>
        <w:tblW w:w="6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41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40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V8</w:t>
            </w:r>
          </w:p>
        </w:tc>
      </w:tr>
    </w:tbl>
    <w:p w:rsidR="004A2088" w:rsidRDefault="004A2088" w:rsidP="004A2088">
      <w:pPr>
        <w:widowControl/>
        <w:suppressAutoHyphens w:val="0"/>
        <w:spacing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1.4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0.52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0.49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0.41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-1.83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1.22 a 1.58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0.39 a 0.66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0.081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szCs w:val="22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szCs w:val="22"/>
          <w:lang w:val="it-IT" w:eastAsia="it-IT" w:bidi="ar-SA"/>
        </w:rPr>
        <w:t>L’analisi della variabile V8 mostra che il 60% dei casi si ammala meno frequentemente rispetto a quando non praticava sport e il 40% poco frequentemente.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V9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79"/>
        <w:gridCol w:w="470"/>
        <w:gridCol w:w="420"/>
        <w:gridCol w:w="232"/>
        <w:gridCol w:w="1600"/>
        <w:gridCol w:w="1600"/>
        <w:gridCol w:w="1601"/>
        <w:gridCol w:w="1601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7 a 9 ore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21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21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53%:87%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Meno di 7 ore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29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10%:43%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Più di 9 ore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0%:13%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70%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0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8</w:t>
            </w:r>
          </w:p>
        </w:tc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</w:t>
            </w: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6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8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716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65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18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86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654" w:type="dxa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2"/>
                    <w:gridCol w:w="416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8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   </w:t>
                        </w:r>
                      </w:p>
                    </w:tc>
                    <w:tc>
                      <w:tcPr>
                        <w:tcW w:w="400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V9</w:t>
                        </w: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1.33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0.56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0.54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1.34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0.82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1.13 a 1.53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0.43 a 0.72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lastRenderedPageBreak/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0.008</w:t>
      </w: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>L’analisi della variabile V9 mostra che il 70% dei casi dorme dalle 7 alle 9 ore a notte, il 27% dorme meno di 7 ore e il 3% dorme più di 9 ore a notte.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V10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"/>
        <w:gridCol w:w="480"/>
        <w:gridCol w:w="485"/>
        <w:gridCol w:w="635"/>
        <w:gridCol w:w="1600"/>
        <w:gridCol w:w="1600"/>
        <w:gridCol w:w="1601"/>
        <w:gridCol w:w="1601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Tanti amici nuovi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77%:100%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Nessuna amicizia nuova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0%:23%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90%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3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10%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63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7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27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</w:t>
            </w:r>
          </w:p>
        </w:tc>
        <w:tc>
          <w:tcPr>
            <w:tcW w:w="63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7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63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7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53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52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V10</w:t>
            </w: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Calibri" w:cs="Times New Roman"/>
          <w:b/>
          <w:bCs/>
          <w:color w:val="000000"/>
          <w:kern w:val="0"/>
          <w:lang w:val="it-IT" w:eastAsia="en-US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Calibri" w:cs="Times New Roman"/>
          <w:b/>
          <w:bCs/>
          <w:color w:val="000000"/>
          <w:kern w:val="0"/>
          <w:lang w:val="it-IT" w:eastAsia="en-US" w:bidi="ar-SA"/>
        </w:rPr>
        <w:t>Campione</w:t>
      </w:r>
      <w:r>
        <w:rPr>
          <w:rFonts w:eastAsia="Calibri" w:cs="Times New Roman"/>
          <w:color w:val="000000"/>
          <w:kern w:val="0"/>
          <w:lang w:val="it-IT" w:eastAsia="en-US" w:bidi="ar-SA"/>
        </w:rPr>
        <w:t>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Numero di casi= 30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tendenza centrale: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Moda = 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Mediana = 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Media = 1.1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dispersione: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Squilibrio = 0.82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Campo di variazione = 1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 xml:space="preserve">  Differenza </w:t>
      </w:r>
      <w:proofErr w:type="spellStart"/>
      <w:r>
        <w:rPr>
          <w:rFonts w:eastAsia="Calibri" w:cs="Times New Roman"/>
          <w:color w:val="000000"/>
          <w:kern w:val="0"/>
          <w:lang w:val="it-IT" w:eastAsia="en-US" w:bidi="ar-SA"/>
        </w:rPr>
        <w:t>interquartilica</w:t>
      </w:r>
      <w:proofErr w:type="spellEnd"/>
      <w:r>
        <w:rPr>
          <w:rFonts w:eastAsia="Calibri" w:cs="Times New Roman"/>
          <w:color w:val="000000"/>
          <w:kern w:val="0"/>
          <w:lang w:val="it-IT" w:eastAsia="en-US" w:bidi="ar-SA"/>
        </w:rPr>
        <w:t xml:space="preserve"> = 0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Scarto tipo = 0.3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Indici di forma: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Asimmetria = 2.67</w:t>
      </w:r>
      <w:r>
        <w:rPr>
          <w:rFonts w:eastAsia="Calibri" w:cs="Times New Roman"/>
          <w:color w:val="000000"/>
          <w:kern w:val="0"/>
          <w:lang w:val="it-IT" w:eastAsia="en-US" w:bidi="ar-SA"/>
        </w:rPr>
        <w:br/>
        <w:t>  Curtosi = 5.11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0.99 a 1.21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0.24 a 0.4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sz w:val="22"/>
          <w:szCs w:val="22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sz w:val="22"/>
          <w:szCs w:val="22"/>
          <w:lang w:val="it-IT" w:eastAsia="it-IT" w:bidi="ar-SA"/>
        </w:rPr>
        <w:t>L’analisi della variabile V10 mostra che il 90% dei casi ha fatto tante nuove amicizie e il 10% non ha fatto nuove amicizie.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lastRenderedPageBreak/>
        <w:t>Distribuzione di frequenza: V11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79"/>
        <w:gridCol w:w="470"/>
        <w:gridCol w:w="420"/>
        <w:gridCol w:w="232"/>
        <w:gridCol w:w="1600"/>
        <w:gridCol w:w="1600"/>
        <w:gridCol w:w="1601"/>
        <w:gridCol w:w="1601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Sempre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15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30%:70%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Qualche volta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14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29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27%:67%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Quasi mai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0%:13%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50%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7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47%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70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15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14</w:t>
            </w:r>
          </w:p>
        </w:tc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</w:t>
            </w:r>
          </w:p>
        </w:tc>
        <w:tc>
          <w:tcPr>
            <w:tcW w:w="2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tbl>
      <w:tblPr>
        <w:tblW w:w="8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836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77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38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6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774" w:type="dxa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2"/>
                    <w:gridCol w:w="536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8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   </w:t>
                        </w:r>
                      </w:p>
                    </w:tc>
                    <w:tc>
                      <w:tcPr>
                        <w:tcW w:w="520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V11</w:t>
                        </w: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tra 1 e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1.53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0.47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0.56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0.43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-0.82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1.32 a 1.74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0.45 a 0.76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0.41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ab/>
      </w: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>L’analisi della variabile V11 mostra che il 50% dei casi rispetta sempre le regole, il 47% le rispetta qualche volta e il 3% quasi mai.</w:t>
      </w: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lastRenderedPageBreak/>
        <w:t>Distribuzione di frequenza: V12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79"/>
        <w:gridCol w:w="470"/>
        <w:gridCol w:w="485"/>
        <w:gridCol w:w="167"/>
        <w:gridCol w:w="1600"/>
        <w:gridCol w:w="1600"/>
        <w:gridCol w:w="1601"/>
        <w:gridCol w:w="1601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Preferisce un’attività individuale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8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10%:43%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Gli piace essere il capitano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9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13%:47%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Ha spirito di squadra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13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23%:63%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43%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6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8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9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13</w:t>
            </w:r>
          </w:p>
        </w:tc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</w:t>
            </w:r>
          </w:p>
        </w:tc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rPr>
          <w:vanish/>
        </w:rPr>
      </w:pPr>
    </w:p>
    <w:tbl>
      <w:tblPr>
        <w:tblW w:w="8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836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77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38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6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774" w:type="dxa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2"/>
                    <w:gridCol w:w="536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8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   </w:t>
                        </w:r>
                      </w:p>
                    </w:tc>
                    <w:tc>
                      <w:tcPr>
                        <w:tcW w:w="520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V12</w:t>
                        </w: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2.17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0.35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0.82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-0.32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-1.44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1.86 a 2.47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0.65 a 1.1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0.212</w:t>
      </w: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>L’analisi della variabile V12 mostra che il 27% dei casi preferisce un’attività individuale, il 30% gli piace essere il capitano (leadership) e il 43% ha spirito di squadra.</w:t>
      </w: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V13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80"/>
        <w:gridCol w:w="470"/>
        <w:gridCol w:w="485"/>
        <w:gridCol w:w="167"/>
        <w:gridCol w:w="1600"/>
        <w:gridCol w:w="1600"/>
        <w:gridCol w:w="1601"/>
        <w:gridCol w:w="1600"/>
        <w:gridCol w:w="1603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Ascolta solo i compagni che sono suoi amici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12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12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40%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20%:60%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Ascolta tutta la squadra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11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37%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77%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17%:57%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Ascolta solo sé stesso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7%:40%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40%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37%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55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12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11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7</w:t>
            </w:r>
          </w:p>
        </w:tc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48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</w:t>
            </w:r>
          </w:p>
        </w:tc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tbl>
      <w:tblPr>
        <w:tblW w:w="8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836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77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38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6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774" w:type="dxa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2"/>
                    <w:gridCol w:w="536"/>
                  </w:tblGrid>
                  <w:tr w:rsidR="004A2088" w:rsidTr="00F81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8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   </w:t>
                        </w:r>
                      </w:p>
                    </w:tc>
                    <w:tc>
                      <w:tcPr>
                        <w:tcW w:w="520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A2088" w:rsidRDefault="004A2088" w:rsidP="00F818FF">
                        <w:pPr>
                          <w:widowControl/>
                          <w:suppressAutoHyphens w:val="0"/>
                          <w:textAlignment w:val="auto"/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</w:pPr>
                        <w:r>
                          <w:rPr>
                            <w:rFonts w:eastAsia="Times New Roman" w:cs="Times New Roman"/>
                            <w:kern w:val="0"/>
                            <w:lang w:val="it-IT" w:eastAsia="it-IT" w:bidi="ar-SA"/>
                          </w:rPr>
                          <w:t>V13</w:t>
                        </w:r>
                      </w:p>
                    </w:tc>
                  </w:tr>
                </w:tbl>
                <w:p w:rsidR="004A2088" w:rsidRDefault="004A2088" w:rsidP="00F818FF">
                  <w:pPr>
                    <w:widowControl/>
                    <w:suppressAutoHyphens w:val="0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1.83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0.35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0.78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0.3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-1.29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1.54 a 2.12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0.62 a 1.05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0.281</w:t>
      </w:r>
      <w:r>
        <w:rPr>
          <w:rFonts w:eastAsia="Times New Roman" w:cs="Times New Roman"/>
          <w:color w:val="000000"/>
          <w:kern w:val="0"/>
          <w:sz w:val="22"/>
          <w:szCs w:val="22"/>
          <w:lang w:val="it-IT" w:eastAsia="it-IT" w:bidi="ar-SA"/>
        </w:rPr>
        <w:tab/>
      </w:r>
    </w:p>
    <w:p w:rsidR="004A2088" w:rsidRDefault="004A2088" w:rsidP="004A2088">
      <w:pPr>
        <w:widowControl/>
        <w:suppressAutoHyphens w:val="0"/>
        <w:spacing w:before="100"/>
        <w:jc w:val="both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>L’analisi della variabile V13 mostra che il 40% dei casi tiene in considerazione solo il pensiero dei compagni che sono suoi amici, il 37% ascolta tutta la squadra e il 23% ascolta solo sé stesso.</w:t>
      </w:r>
    </w:p>
    <w:p w:rsidR="004A2088" w:rsidRDefault="004A2088" w:rsidP="004A2088">
      <w:pPr>
        <w:widowControl/>
        <w:suppressAutoHyphens w:val="0"/>
        <w:jc w:val="both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</w:p>
    <w:p w:rsidR="004A2088" w:rsidRDefault="004A2088" w:rsidP="004A2088">
      <w:pPr>
        <w:widowControl/>
        <w:suppressAutoHyphens w:val="0"/>
        <w:spacing w:after="100"/>
        <w:textAlignment w:val="auto"/>
        <w:rPr>
          <w:rFonts w:eastAsia="Times New Roman" w:cs="Times New Roman"/>
          <w:b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b/>
          <w:color w:val="000000"/>
          <w:kern w:val="0"/>
          <w:lang w:val="it-IT" w:eastAsia="it-IT" w:bidi="ar-SA"/>
        </w:rPr>
        <w:t>Distribuzione di frequenza: V14</w:t>
      </w:r>
    </w:p>
    <w:tbl>
      <w:tblPr>
        <w:tblW w:w="96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480"/>
        <w:gridCol w:w="470"/>
        <w:gridCol w:w="405"/>
        <w:gridCol w:w="248"/>
        <w:gridCol w:w="237"/>
        <w:gridCol w:w="1363"/>
        <w:gridCol w:w="1600"/>
        <w:gridCol w:w="1601"/>
        <w:gridCol w:w="1600"/>
        <w:gridCol w:w="1602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Modalità</w:t>
            </w:r>
          </w:p>
        </w:tc>
        <w:tc>
          <w:tcPr>
            <w:tcW w:w="160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semplice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semplice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Frequenza cumulata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Percentuale cumulata</w:t>
            </w:r>
          </w:p>
        </w:tc>
        <w:tc>
          <w:tcPr>
            <w:tcW w:w="16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 xml:space="preserve">Non lo fa spesso perché risulta </w:t>
            </w:r>
            <w:proofErr w:type="spellStart"/>
            <w:r>
              <w:rPr>
                <w:rFonts w:eastAsia="Times New Roman" w:cs="Times New Roman"/>
                <w:kern w:val="0"/>
                <w:lang w:val="it-IT" w:eastAsia="it-IT" w:bidi="ar-SA"/>
              </w:rPr>
              <w:t>diffcile</w:t>
            </w:r>
            <w:proofErr w:type="spellEnd"/>
          </w:p>
        </w:tc>
        <w:tc>
          <w:tcPr>
            <w:tcW w:w="160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</w:t>
            </w:r>
          </w:p>
        </w:tc>
        <w:tc>
          <w:tcPr>
            <w:tcW w:w="16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7%:40%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Qualche volta</w:t>
            </w:r>
          </w:p>
        </w:tc>
        <w:tc>
          <w:tcPr>
            <w:tcW w:w="160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50%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22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73%</w:t>
            </w:r>
          </w:p>
        </w:tc>
        <w:tc>
          <w:tcPr>
            <w:tcW w:w="16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30%:70%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Quasi mai</w:t>
            </w:r>
          </w:p>
        </w:tc>
        <w:tc>
          <w:tcPr>
            <w:tcW w:w="160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77%</w:t>
            </w:r>
          </w:p>
        </w:tc>
        <w:tc>
          <w:tcPr>
            <w:tcW w:w="16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0%:13%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</w:p>
        </w:tc>
        <w:tc>
          <w:tcPr>
            <w:tcW w:w="160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Sempre</w:t>
            </w:r>
          </w:p>
        </w:tc>
        <w:tc>
          <w:tcPr>
            <w:tcW w:w="160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23%</w:t>
            </w:r>
          </w:p>
        </w:tc>
        <w:tc>
          <w:tcPr>
            <w:tcW w:w="16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30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100%</w:t>
            </w:r>
          </w:p>
        </w:tc>
        <w:tc>
          <w:tcPr>
            <w:tcW w:w="16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7%:40%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50%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750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4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4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  <w:t>23%</w:t>
                  </w:r>
                </w:p>
              </w:tc>
            </w:tr>
            <w:tr w:rsidR="004A2088" w:rsidTr="00F81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  <w:jc w:val="center"/>
              </w:trPr>
              <w:tc>
                <w:tcPr>
                  <w:tcW w:w="440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A2088" w:rsidRDefault="004A2088" w:rsidP="00F818FF">
                  <w:pPr>
                    <w:widowControl/>
                    <w:suppressAutoHyphens w:val="0"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val="it-IT" w:eastAsia="it-IT" w:bidi="ar-SA"/>
                    </w:rPr>
                  </w:pPr>
                </w:p>
              </w:tc>
            </w:tr>
          </w:tbl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7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15</w:t>
            </w:r>
          </w:p>
        </w:tc>
        <w:tc>
          <w:tcPr>
            <w:tcW w:w="40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8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7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506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1</w:t>
            </w:r>
          </w:p>
        </w:tc>
        <w:tc>
          <w:tcPr>
            <w:tcW w:w="47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2</w:t>
            </w:r>
          </w:p>
        </w:tc>
        <w:tc>
          <w:tcPr>
            <w:tcW w:w="405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3</w:t>
            </w:r>
          </w:p>
        </w:tc>
        <w:tc>
          <w:tcPr>
            <w:tcW w:w="485" w:type="dxa"/>
            <w:gridSpan w:val="2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4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A2088" w:rsidRDefault="004A2088" w:rsidP="00F818FF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</w:pPr>
    </w:p>
    <w:tbl>
      <w:tblPr>
        <w:tblW w:w="7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536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286" w:type="dxa"/>
            <w:shd w:val="clear" w:color="auto" w:fill="C0D0C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   </w:t>
            </w:r>
          </w:p>
        </w:tc>
        <w:tc>
          <w:tcPr>
            <w:tcW w:w="520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2088" w:rsidRDefault="004A2088" w:rsidP="00F818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V14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</w:pPr>
      <w:r>
        <w:rPr>
          <w:rFonts w:eastAsia="Times New Roman" w:cs="Times New Roman"/>
          <w:b/>
          <w:bCs/>
          <w:color w:val="000000"/>
          <w:kern w:val="0"/>
          <w:lang w:val="it-IT" w:eastAsia="it-IT" w:bidi="ar-SA"/>
        </w:rPr>
        <w:t>Campione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t>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Numero di casi= 30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tendenza centrale: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Moda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Mediana = 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Media = 2.27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dispersione: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Squilibrio = 0.36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Campo di variazione = 3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 xml:space="preserve">  Differenza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interquartilica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 = 1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Scarto tipo = 1.06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Indici di forma: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Asimmetria = 0.62</w:t>
      </w:r>
      <w:r>
        <w:rPr>
          <w:rFonts w:eastAsia="Times New Roman" w:cs="Times New Roman"/>
          <w:color w:val="000000"/>
          <w:kern w:val="0"/>
          <w:lang w:val="it-IT" w:eastAsia="it-IT" w:bidi="ar-SA"/>
        </w:rPr>
        <w:br/>
        <w:t>  Curtosi = -0.87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  <w:r>
        <w:rPr>
          <w:rFonts w:eastAsia="Calibri" w:cs="Times New Roman"/>
          <w:b/>
          <w:kern w:val="0"/>
          <w:lang w:val="it-IT" w:eastAsia="en-US" w:bidi="ar-SA"/>
        </w:rPr>
        <w:t>Popolazione:</w:t>
      </w:r>
    </w:p>
    <w:p w:rsidR="004A2088" w:rsidRDefault="004A2088" w:rsidP="004A2088">
      <w:pPr>
        <w:widowControl/>
        <w:suppressAutoHyphens w:val="0"/>
        <w:spacing w:line="254" w:lineRule="auto"/>
        <w:textAlignment w:val="auto"/>
        <w:rPr>
          <w:rFonts w:eastAsia="Calibri" w:cs="Times New Roman"/>
          <w:b/>
          <w:kern w:val="0"/>
          <w:lang w:val="it-IT" w:eastAsia="en-US" w:bidi="ar-SA"/>
        </w:rPr>
      </w:pPr>
    </w:p>
    <w:tbl>
      <w:tblPr>
        <w:tblW w:w="29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559"/>
      </w:tblGrid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Parametro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Int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Fid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it-IT" w:eastAsia="it-IT" w:bidi="ar-SA"/>
              </w:rPr>
              <w:t>. 95%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Media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1.87 a 2.66</w:t>
            </w:r>
          </w:p>
        </w:tc>
      </w:tr>
      <w:tr w:rsidR="004A2088" w:rsidTr="00F818FF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lastRenderedPageBreak/>
              <w:t>Scarto tipo</w:t>
            </w:r>
          </w:p>
        </w:tc>
        <w:tc>
          <w:tcPr>
            <w:tcW w:w="15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088" w:rsidRDefault="004A2088" w:rsidP="00F818FF">
            <w:pPr>
              <w:widowControl/>
              <w:suppressAutoHyphens w:val="0"/>
              <w:spacing w:before="100" w:after="100"/>
              <w:textAlignment w:val="auto"/>
              <w:rPr>
                <w:rFonts w:eastAsia="Times New Roman" w:cs="Times New Roman"/>
                <w:kern w:val="0"/>
                <w:lang w:val="it-IT" w:eastAsia="it-IT" w:bidi="ar-SA"/>
              </w:rPr>
            </w:pPr>
            <w:r>
              <w:rPr>
                <w:rFonts w:eastAsia="Times New Roman" w:cs="Times New Roman"/>
                <w:kern w:val="0"/>
                <w:lang w:val="it-IT" w:eastAsia="it-IT" w:bidi="ar-SA"/>
              </w:rPr>
              <w:t>da 0.85 a 1.43</w:t>
            </w:r>
          </w:p>
        </w:tc>
      </w:tr>
    </w:tbl>
    <w:p w:rsidR="004A2088" w:rsidRDefault="004A2088" w:rsidP="004A2088">
      <w:pPr>
        <w:widowControl/>
        <w:suppressAutoHyphens w:val="0"/>
        <w:spacing w:before="100" w:after="100"/>
        <w:textAlignment w:val="auto"/>
        <w:rPr>
          <w:rFonts w:eastAsia="Times New Roman" w:cs="Times New Roman"/>
          <w:color w:val="000000"/>
          <w:kern w:val="0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lang w:val="it-IT" w:eastAsia="it-IT" w:bidi="ar-SA"/>
        </w:rPr>
        <w:t xml:space="preserve">Probabilità di normalità della distribuzione (test di </w:t>
      </w:r>
      <w:proofErr w:type="spellStart"/>
      <w:r>
        <w:rPr>
          <w:rFonts w:eastAsia="Times New Roman" w:cs="Times New Roman"/>
          <w:color w:val="000000"/>
          <w:kern w:val="0"/>
          <w:lang w:val="it-IT" w:eastAsia="it-IT" w:bidi="ar-SA"/>
        </w:rPr>
        <w:t>Jarque-Bera</w:t>
      </w:r>
      <w:proofErr w:type="spellEnd"/>
      <w:r>
        <w:rPr>
          <w:rFonts w:eastAsia="Times New Roman" w:cs="Times New Roman"/>
          <w:color w:val="000000"/>
          <w:kern w:val="0"/>
          <w:lang w:val="it-IT" w:eastAsia="it-IT" w:bidi="ar-SA"/>
        </w:rPr>
        <w:t>): 0.239</w:t>
      </w:r>
    </w:p>
    <w:p w:rsidR="004A2088" w:rsidRDefault="004A2088" w:rsidP="004A2088">
      <w:pPr>
        <w:widowControl/>
        <w:suppressAutoHyphens w:val="0"/>
        <w:spacing w:before="100"/>
        <w:textAlignment w:val="auto"/>
        <w:rPr>
          <w:rFonts w:eastAsia="Times New Roman" w:cs="Times New Roman"/>
          <w:color w:val="000000"/>
          <w:kern w:val="0"/>
          <w:sz w:val="22"/>
          <w:szCs w:val="22"/>
          <w:lang w:val="it-IT" w:eastAsia="it-IT" w:bidi="ar-SA"/>
        </w:rPr>
      </w:pPr>
      <w:r>
        <w:rPr>
          <w:rFonts w:eastAsia="Times New Roman" w:cs="Times New Roman"/>
          <w:color w:val="000000"/>
          <w:kern w:val="0"/>
          <w:sz w:val="22"/>
          <w:szCs w:val="22"/>
          <w:lang w:val="it-IT" w:eastAsia="it-IT" w:bidi="ar-SA"/>
        </w:rPr>
        <w:t>L’analisi della variabile V14 mostra che il 23% dei casi non chiede spesso scusa perché risulta difficile, il 50% qualche volta, 3% quasi mai e il 23% chiede sempre scusa.</w:t>
      </w:r>
    </w:p>
    <w:p w:rsidR="004A2088" w:rsidRDefault="004A2088" w:rsidP="004A2088">
      <w:pPr>
        <w:pStyle w:val="Standard"/>
        <w:autoSpaceDE w:val="0"/>
        <w:jc w:val="both"/>
        <w:rPr>
          <w:rFonts w:eastAsia="Calibri" w:cs="Times New Roman"/>
          <w:b/>
          <w:bCs/>
          <w:i/>
          <w:iCs/>
          <w:sz w:val="32"/>
          <w:szCs w:val="32"/>
        </w:rPr>
      </w:pPr>
    </w:p>
    <w:p w:rsidR="004A2088" w:rsidRDefault="004A2088" w:rsidP="004A2088">
      <w:pPr>
        <w:pStyle w:val="Standard"/>
        <w:autoSpaceDE w:val="0"/>
        <w:jc w:val="both"/>
        <w:rPr>
          <w:rFonts w:eastAsia="Calibri" w:cs="Times New Roman"/>
          <w:b/>
          <w:bCs/>
          <w:i/>
          <w:iCs/>
          <w:sz w:val="32"/>
          <w:szCs w:val="32"/>
        </w:rPr>
      </w:pPr>
    </w:p>
    <w:p w:rsidR="00045563" w:rsidRDefault="004A2088">
      <w:bookmarkStart w:id="0" w:name="_GoBack"/>
      <w:bookmarkEnd w:id="0"/>
    </w:p>
    <w:sectPr w:rsidR="000455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3AB"/>
    <w:multiLevelType w:val="multilevel"/>
    <w:tmpl w:val="E8E6501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2B1E84"/>
    <w:multiLevelType w:val="multilevel"/>
    <w:tmpl w:val="ECFE7284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7BC34E0"/>
    <w:multiLevelType w:val="multilevel"/>
    <w:tmpl w:val="464ADEA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865183D"/>
    <w:multiLevelType w:val="multilevel"/>
    <w:tmpl w:val="179405A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F460742"/>
    <w:multiLevelType w:val="multilevel"/>
    <w:tmpl w:val="5B74D944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24EE01F2"/>
    <w:multiLevelType w:val="multilevel"/>
    <w:tmpl w:val="9182C8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6EB3D4A"/>
    <w:multiLevelType w:val="multilevel"/>
    <w:tmpl w:val="E098CA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E257BC8"/>
    <w:multiLevelType w:val="multilevel"/>
    <w:tmpl w:val="FBAEF36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32731365"/>
    <w:multiLevelType w:val="multilevel"/>
    <w:tmpl w:val="68F8580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3B560F5A"/>
    <w:multiLevelType w:val="multilevel"/>
    <w:tmpl w:val="2DA8EB6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7B20C4B"/>
    <w:multiLevelType w:val="multilevel"/>
    <w:tmpl w:val="AAAADBE8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5BE64426"/>
    <w:multiLevelType w:val="multilevel"/>
    <w:tmpl w:val="2AEE6C22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64E16916"/>
    <w:multiLevelType w:val="multilevel"/>
    <w:tmpl w:val="6B24A29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65AC37B0"/>
    <w:multiLevelType w:val="multilevel"/>
    <w:tmpl w:val="1172B812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535521D"/>
    <w:multiLevelType w:val="multilevel"/>
    <w:tmpl w:val="BCAE070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75A33AFA"/>
    <w:multiLevelType w:val="multilevel"/>
    <w:tmpl w:val="ABDCB42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0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15"/>
  </w:num>
  <w:num w:numId="11">
    <w:abstractNumId w:val="4"/>
  </w:num>
  <w:num w:numId="12">
    <w:abstractNumId w:val="11"/>
  </w:num>
  <w:num w:numId="13">
    <w:abstractNumId w:val="10"/>
  </w:num>
  <w:num w:numId="14">
    <w:abstractNumId w:val="13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88"/>
    <w:rsid w:val="004A2088"/>
    <w:rsid w:val="00CA646E"/>
    <w:rsid w:val="00DC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CE96BB-F6E8-4644-9476-6EADB335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4A20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itolo1">
    <w:name w:val="heading 1"/>
    <w:basedOn w:val="Normale"/>
    <w:next w:val="Normale"/>
    <w:link w:val="Titolo1Carattere"/>
    <w:rsid w:val="004A2088"/>
    <w:pPr>
      <w:keepNext/>
      <w:keepLines/>
      <w:widowControl/>
      <w:suppressAutoHyphens w:val="0"/>
      <w:spacing w:before="240" w:line="254" w:lineRule="auto"/>
      <w:textAlignment w:val="auto"/>
      <w:outlineLvl w:val="0"/>
    </w:pPr>
    <w:rPr>
      <w:rFonts w:ascii="Calibri Light" w:eastAsia="Times New Roman" w:hAnsi="Calibri Light" w:cs="Times New Roman"/>
      <w:color w:val="2E74B5"/>
      <w:kern w:val="0"/>
      <w:sz w:val="32"/>
      <w:szCs w:val="32"/>
      <w:lang w:val="it-IT"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A2088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andard">
    <w:name w:val="Standard"/>
    <w:rsid w:val="004A20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4A208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4A2088"/>
    <w:pPr>
      <w:spacing w:after="120"/>
    </w:pPr>
  </w:style>
  <w:style w:type="paragraph" w:styleId="Elenco">
    <w:name w:val="List"/>
    <w:basedOn w:val="Textbody"/>
    <w:rsid w:val="004A2088"/>
  </w:style>
  <w:style w:type="paragraph" w:styleId="Didascalia">
    <w:name w:val="caption"/>
    <w:basedOn w:val="Standard"/>
    <w:rsid w:val="004A20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A2088"/>
    <w:pPr>
      <w:suppressLineNumbers/>
    </w:pPr>
  </w:style>
  <w:style w:type="paragraph" w:customStyle="1" w:styleId="Default">
    <w:name w:val="Default"/>
    <w:basedOn w:val="Standard"/>
    <w:rsid w:val="004A2088"/>
    <w:pPr>
      <w:autoSpaceDE w:val="0"/>
    </w:pPr>
    <w:rPr>
      <w:rFonts w:eastAsia="Times New Roman" w:cs="Times New Roman"/>
      <w:color w:val="000000"/>
    </w:rPr>
  </w:style>
  <w:style w:type="paragraph" w:customStyle="1" w:styleId="TableContents">
    <w:name w:val="Table Contents"/>
    <w:basedOn w:val="Standard"/>
    <w:rsid w:val="004A2088"/>
    <w:pPr>
      <w:suppressLineNumbers/>
    </w:pPr>
  </w:style>
  <w:style w:type="paragraph" w:customStyle="1" w:styleId="TableHeading">
    <w:name w:val="Table Heading"/>
    <w:basedOn w:val="TableContents"/>
    <w:rsid w:val="004A2088"/>
    <w:pPr>
      <w:jc w:val="center"/>
    </w:pPr>
    <w:rPr>
      <w:b/>
      <w:bCs/>
    </w:rPr>
  </w:style>
  <w:style w:type="character" w:customStyle="1" w:styleId="NumberingSymbols">
    <w:name w:val="Numbering Symbols"/>
    <w:rsid w:val="004A2088"/>
  </w:style>
  <w:style w:type="character" w:customStyle="1" w:styleId="BulletSymbols">
    <w:name w:val="Bullet Symbols"/>
    <w:rsid w:val="004A2088"/>
    <w:rPr>
      <w:rFonts w:ascii="OpenSymbol" w:eastAsia="OpenSymbol" w:hAnsi="OpenSymbol" w:cs="OpenSymbol"/>
    </w:rPr>
  </w:style>
  <w:style w:type="paragraph" w:styleId="NormaleWeb">
    <w:name w:val="Normal (Web)"/>
    <w:basedOn w:val="Normale"/>
    <w:rsid w:val="004A2088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val="it-IT" w:eastAsia="it-IT" w:bidi="ar-SA"/>
    </w:rPr>
  </w:style>
  <w:style w:type="paragraph" w:styleId="Paragrafoelenco">
    <w:name w:val="List Paragraph"/>
    <w:basedOn w:val="Normale"/>
    <w:rsid w:val="004A208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fasolis</dc:creator>
  <cp:keywords/>
  <dc:description/>
  <cp:lastModifiedBy>michela fasolis</cp:lastModifiedBy>
  <cp:revision>1</cp:revision>
  <dcterms:created xsi:type="dcterms:W3CDTF">2020-04-10T16:32:00Z</dcterms:created>
  <dcterms:modified xsi:type="dcterms:W3CDTF">2020-04-10T16:32:00Z</dcterms:modified>
</cp:coreProperties>
</file>